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780" w:type="dxa"/>
        <w:tblCellMar>
          <w:top w:w="0" w:type="dxa"/>
          <w:left w:w="0" w:type="dxa"/>
          <w:bottom w:w="0" w:type="dxa"/>
          <w:right w:w="0" w:type="dxa"/>
        </w:tblCellMar>
      </w:tblPr>
      <w:tr>
        <w:trPr>
          <w:trHeight w:val="211"/>
        </w:trPr>
        <w:tc>
          <w:tcPr>
            <w:tcW w:w="5260" w:type="dxa"/>
            <w:vAlign w:val="bottom"/>
            <w:tcBorders>
              <w:right w:val="single" w:sz="8" w:color="auto"/>
            </w:tcBorders>
            <w:vMerge w:val="restart"/>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2240" w:type="dxa"/>
            <w:vAlign w:val="bottom"/>
            <w:tcBorders>
              <w:top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 FILE NUMBER</w:t>
            </w:r>
          </w:p>
        </w:tc>
        <w:tc>
          <w:tcPr>
            <w:tcW w:w="0" w:type="dxa"/>
            <w:vAlign w:val="bottom"/>
          </w:tcPr>
          <w:p>
            <w:pPr>
              <w:spacing w:after="0"/>
              <w:rPr>
                <w:sz w:val="1"/>
                <w:szCs w:val="1"/>
                <w:color w:val="auto"/>
              </w:rPr>
            </w:pPr>
          </w:p>
        </w:tc>
      </w:tr>
      <w:tr>
        <w:trPr>
          <w:trHeight w:val="234"/>
        </w:trPr>
        <w:tc>
          <w:tcPr>
            <w:tcW w:w="5260" w:type="dxa"/>
            <w:vAlign w:val="bottom"/>
            <w:tcBorders>
              <w:right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000-23329</w:t>
            </w:r>
          </w:p>
        </w:tc>
        <w:tc>
          <w:tcPr>
            <w:tcW w:w="0" w:type="dxa"/>
            <w:vAlign w:val="bottom"/>
          </w:tcPr>
          <w:p>
            <w:pPr>
              <w:spacing w:after="0"/>
              <w:rPr>
                <w:sz w:val="1"/>
                <w:szCs w:val="1"/>
                <w:color w:val="auto"/>
              </w:rPr>
            </w:pPr>
          </w:p>
        </w:tc>
      </w:tr>
      <w:tr>
        <w:trPr>
          <w:trHeight w:val="187"/>
        </w:trPr>
        <w:tc>
          <w:tcPr>
            <w:tcW w:w="5260" w:type="dxa"/>
            <w:vAlign w:val="bottom"/>
            <w:tcBorders>
              <w:right w:val="single" w:sz="8" w:color="auto"/>
            </w:tcBorders>
          </w:tcPr>
          <w:p>
            <w:pPr>
              <w:jc w:val="center"/>
              <w:ind w:right="1290"/>
              <w:spacing w:after="0" w:line="188" w:lineRule="exact"/>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240" w:type="dxa"/>
            <w:vAlign w:val="bottom"/>
            <w:tcBorders>
              <w:right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color w:val="auto"/>
                <w:w w:val="97"/>
              </w:rPr>
              <w:t>CUSIP</w:t>
            </w:r>
          </w:p>
        </w:tc>
        <w:tc>
          <w:tcPr>
            <w:tcW w:w="0" w:type="dxa"/>
            <w:vAlign w:val="bottom"/>
          </w:tcPr>
          <w:p>
            <w:pPr>
              <w:spacing w:after="0"/>
              <w:rPr>
                <w:sz w:val="1"/>
                <w:szCs w:val="1"/>
                <w:color w:val="auto"/>
              </w:rPr>
            </w:pPr>
          </w:p>
        </w:tc>
      </w:tr>
      <w:tr>
        <w:trPr>
          <w:trHeight w:val="238"/>
        </w:trPr>
        <w:tc>
          <w:tcPr>
            <w:tcW w:w="52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Washington, D.C. 20549</w:t>
            </w:r>
          </w:p>
        </w:tc>
        <w:tc>
          <w:tcPr>
            <w:tcW w:w="22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159765205</w:t>
            </w:r>
          </w:p>
        </w:tc>
        <w:tc>
          <w:tcPr>
            <w:tcW w:w="0" w:type="dxa"/>
            <w:vAlign w:val="bottom"/>
          </w:tcPr>
          <w:p>
            <w:pPr>
              <w:spacing w:after="0"/>
              <w:rPr>
                <w:sz w:val="1"/>
                <w:szCs w:val="1"/>
                <w:color w:val="auto"/>
              </w:rPr>
            </w:pPr>
          </w:p>
        </w:tc>
      </w:tr>
    </w:tbl>
    <w:p>
      <w:pPr>
        <w:spacing w:after="0" w:line="2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211455</wp:posOffset>
            </wp:positionH>
            <wp:positionV relativeFrom="page">
              <wp:posOffset>222885</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248920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ind w:left="1340" w:right="3340" w:hanging="1352"/>
        <w:spacing w:after="0" w:line="259" w:lineRule="exact"/>
        <w:tabs>
          <w:tab w:leader="none" w:pos="132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10-K</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20-F</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Form 11-K</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10-Q</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10-D</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Form N-CEN</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    Form N-CSR</w:t>
      </w:r>
    </w:p>
    <w:p>
      <w:pPr>
        <w:spacing w:after="0" w:line="17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 xml:space="preserve">  For Period Ended: </w:t>
      </w:r>
      <w:r>
        <w:rPr>
          <w:rFonts w:ascii="Times New Roman" w:cs="Times New Roman" w:eastAsia="Times New Roman" w:hAnsi="Times New Roman"/>
          <w:sz w:val="18"/>
          <w:szCs w:val="18"/>
          <w:u w:val="single" w:color="auto"/>
          <w:color w:val="auto"/>
        </w:rPr>
        <w:t>December 31, 2025</w:t>
      </w:r>
    </w:p>
    <w:p>
      <w:pPr>
        <w:spacing w:after="0" w:line="27" w:lineRule="exact"/>
        <w:rPr>
          <w:sz w:val="24"/>
          <w:szCs w:val="24"/>
          <w:color w:val="auto"/>
        </w:rPr>
      </w:pPr>
    </w:p>
    <w:p>
      <w:pPr>
        <w:ind w:left="1580"/>
        <w:spacing w:after="0" w:line="207" w:lineRule="exact"/>
        <w:tabs>
          <w:tab w:leader="none" w:pos="1900" w:val="left"/>
        </w:tabs>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10-K</w:t>
      </w:r>
    </w:p>
    <w:p>
      <w:pPr>
        <w:spacing w:after="0" w:line="11" w:lineRule="exact"/>
        <w:rPr>
          <w:sz w:val="24"/>
          <w:szCs w:val="24"/>
          <w:color w:val="auto"/>
        </w:rPr>
      </w:pPr>
    </w:p>
    <w:p>
      <w:pPr>
        <w:ind w:left="1580"/>
        <w:spacing w:after="0" w:line="207" w:lineRule="exact"/>
        <w:tabs>
          <w:tab w:leader="none" w:pos="1900" w:val="left"/>
        </w:tabs>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20-F</w:t>
      </w:r>
    </w:p>
    <w:p>
      <w:pPr>
        <w:spacing w:after="0" w:line="9" w:lineRule="exact"/>
        <w:rPr>
          <w:sz w:val="24"/>
          <w:szCs w:val="24"/>
          <w:color w:val="auto"/>
        </w:rPr>
      </w:pPr>
    </w:p>
    <w:p>
      <w:pPr>
        <w:ind w:left="1580"/>
        <w:spacing w:after="0" w:line="207" w:lineRule="exact"/>
        <w:tabs>
          <w:tab w:leader="none" w:pos="1900" w:val="left"/>
        </w:tabs>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11-K</w:t>
      </w:r>
    </w:p>
    <w:p>
      <w:pPr>
        <w:spacing w:after="0" w:line="9" w:lineRule="exact"/>
        <w:rPr>
          <w:sz w:val="24"/>
          <w:szCs w:val="24"/>
          <w:color w:val="auto"/>
        </w:rPr>
      </w:pPr>
    </w:p>
    <w:p>
      <w:pPr>
        <w:ind w:left="1580"/>
        <w:spacing w:after="0" w:line="207" w:lineRule="exact"/>
        <w:tabs>
          <w:tab w:leader="none" w:pos="1900" w:val="left"/>
        </w:tabs>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10-Q</w:t>
      </w:r>
    </w:p>
    <w:p>
      <w:pPr>
        <w:spacing w:after="0" w:line="205"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  For the Transition Period Ended: _____________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Charles &amp; Colvard,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170 Southport Drive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Morrisville, NC 27560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7157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203200</wp:posOffset>
            </wp:positionV>
            <wp:extent cx="71577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511810</wp:posOffset>
            </wp:positionV>
            <wp:extent cx="7157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681" w:right="318" w:bottom="1440" w:gutter="0" w:footer="0" w:header="0"/>
        </w:sectPr>
      </w:pPr>
    </w:p>
    <w:bookmarkStart w:id="1" w:name="page2"/>
    <w:bookmarkEnd w:id="1"/>
    <w:p>
      <w:pPr>
        <w:ind w:left="7"/>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left="7"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507" w:hanging="507"/>
        <w:spacing w:after="0"/>
        <w:tabs>
          <w:tab w:leader="none" w:pos="5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reasons described in reasonable detail in Part III of this form could not be eliminated without unreasonable effort or expense;</w:t>
      </w:r>
    </w:p>
    <w:p>
      <w:pPr>
        <w:spacing w:after="0" w:line="29" w:lineRule="exact"/>
        <w:rPr>
          <w:rFonts w:ascii="MS PGothic" w:cs="MS PGothic" w:eastAsia="MS PGothic" w:hAnsi="MS PGothic"/>
          <w:sz w:val="18"/>
          <w:szCs w:val="18"/>
          <w:color w:val="auto"/>
        </w:rPr>
      </w:pPr>
    </w:p>
    <w:p>
      <w:pPr>
        <w:ind w:left="907" w:right="120" w:hanging="398"/>
        <w:spacing w:after="0" w:line="249" w:lineRule="auto"/>
        <w:tabs>
          <w:tab w:leader="none" w:pos="907"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date; and</w:t>
      </w:r>
    </w:p>
    <w:p>
      <w:pPr>
        <w:spacing w:after="0" w:line="3" w:lineRule="exact"/>
        <w:rPr>
          <w:rFonts w:ascii="Times New Roman" w:cs="Times New Roman" w:eastAsia="Times New Roman" w:hAnsi="Times New Roman"/>
          <w:sz w:val="18"/>
          <w:szCs w:val="18"/>
          <w:color w:val="auto"/>
        </w:rPr>
      </w:pPr>
    </w:p>
    <w:p>
      <w:pPr>
        <w:ind w:left="907" w:hanging="398"/>
        <w:spacing w:after="0"/>
        <w:tabs>
          <w:tab w:leader="none" w:pos="907"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-816610</wp:posOffset>
            </wp:positionV>
            <wp:extent cx="17145"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1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left="7"/>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ind w:left="7" w:right="120"/>
        <w:spacing w:after="0" w:line="258" w:lineRule="auto"/>
        <w:rPr>
          <w:sz w:val="20"/>
          <w:szCs w:val="20"/>
          <w:color w:val="auto"/>
        </w:rPr>
      </w:pPr>
      <w:r>
        <w:rPr>
          <w:rFonts w:ascii="Times New Roman" w:cs="Times New Roman" w:eastAsia="Times New Roman" w:hAnsi="Times New Roman"/>
          <w:sz w:val="18"/>
          <w:szCs w:val="18"/>
          <w:color w:val="auto"/>
        </w:rPr>
        <w:t>Charles &amp; Colvard, Ltd. (the “Company”) is filing this Notification of Late Filing on Form 12b-25 with respect to its Quarterly Report on Form 10-Q for the fiscal quarter ended December 31, 2025 (the “Q2 FY2026 Form 10-Q”). The Company was unable to file its Q2 FY2026 Form 10-Q within the prescribed time period without unreasonable effort or expense because it requires additional time to complete procedures and compile information relating to its delinquent annual and quarterly financial statements. The Company’s recent management and board changes, along with ongoing litigation and resource constraints, all of which have been previously reported, contributed to the delay.</w:t>
      </w:r>
    </w:p>
    <w:p>
      <w:pPr>
        <w:spacing w:after="0" w:line="183" w:lineRule="exact"/>
        <w:rPr>
          <w:sz w:val="20"/>
          <w:szCs w:val="20"/>
          <w:color w:val="auto"/>
        </w:rPr>
      </w:pPr>
    </w:p>
    <w:p>
      <w:pPr>
        <w:ind w:left="7" w:right="60"/>
        <w:spacing w:after="0" w:line="258" w:lineRule="auto"/>
        <w:rPr>
          <w:sz w:val="20"/>
          <w:szCs w:val="20"/>
          <w:color w:val="auto"/>
        </w:rPr>
      </w:pPr>
      <w:r>
        <w:rPr>
          <w:rFonts w:ascii="Times New Roman" w:cs="Times New Roman" w:eastAsia="Times New Roman" w:hAnsi="Times New Roman"/>
          <w:sz w:val="18"/>
          <w:szCs w:val="18"/>
          <w:color w:val="222222"/>
        </w:rPr>
        <w:t>The Company is diligently working on completing procedures and compiling the information required to be included in its quarterly and annual reports. While the Company intends to file the Q2 FY2026 Form 10-Q as soon as practicable, the Company does not anticipate being able to file its Q2 FY2026 Form 10-Q within the five-day grace period provided by Rule 12b-25 under the Securities Exchange Act of 1934, as amended, without unreasonable effort or expense. The Company intends to file the Q2 FY2026 Form 10-Q as soon as practicable, following the filing of the Annual Report on Form 10-K for the fiscal year ended June 30, 2025, and its Quarterly Report on Form 10-Q for the fiscal quarter ended September 30, 2025.</w:t>
      </w:r>
    </w:p>
    <w:p>
      <w:pPr>
        <w:spacing w:after="0" w:line="183" w:lineRule="exact"/>
        <w:rPr>
          <w:sz w:val="20"/>
          <w:szCs w:val="20"/>
          <w:color w:val="auto"/>
        </w:rPr>
      </w:pPr>
    </w:p>
    <w:p>
      <w:pPr>
        <w:ind w:left="7" w:right="60"/>
        <w:spacing w:after="0" w:line="254" w:lineRule="auto"/>
        <w:rPr>
          <w:sz w:val="20"/>
          <w:szCs w:val="20"/>
          <w:color w:val="auto"/>
        </w:rPr>
      </w:pPr>
      <w:r>
        <w:rPr>
          <w:rFonts w:ascii="Times New Roman" w:cs="Times New Roman" w:eastAsia="Times New Roman" w:hAnsi="Times New Roman"/>
          <w:sz w:val="18"/>
          <w:szCs w:val="18"/>
          <w:color w:val="222222"/>
        </w:rPr>
        <w:t>Based on the currently available information, and consistent with the Company’s disclosure in its Annual Report on Form 10-K for the fiscal year ended June 30, 2024, its Quarterly Report on Form 10-Q for the fiscal quarter ended September 30, 2024, its Quarterly Report on Form 10-Q for the fiscal quarter ended December 31, 2024, and its Quarterly Report on Form 10-Q for the fiscal quarter ended March 31, 2025, the Company expects to disclose in its Q2 FY2026 Form 10-Q, that (1) certain material weaknesses exist in internal controls over financial reporting, and (2) certain factors raise substantial doubt about the Company’s ability to continue as a going concern. In response to this and the continued challenging economic environment, the Company continues to reduce spend across the board in order to stabilize and right-size its business as noted below in Part IV. The Company has implemented a cost reduction strategy that includes a decrease in headcount and related payroll, executive salary reductions, reevaluation of its supplier base, and inventory repurposing – all through the fiscal year ended June 30, 2025, and continuing in the quarters ended September 30, 2025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424815</wp:posOffset>
            </wp:positionV>
            <wp:extent cx="7157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47"/>
          </w:cols>
          <w:pgMar w:left="333" w:top="895" w:right="338" w:bottom="1440" w:gutter="0" w:footer="0" w:header="0"/>
        </w:sectPr>
      </w:pPr>
    </w:p>
    <w:bookmarkStart w:id="2" w:name="page3"/>
    <w:bookmarkEnd w:id="2"/>
    <w:p>
      <w:pPr>
        <w:ind w:left="7"/>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7"/>
        <w:spacing w:after="0"/>
        <w:tabs>
          <w:tab w:leader="none" w:pos="327"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Name and telephone number of person to contact in regard to this notification</w:t>
      </w:r>
    </w:p>
    <w:p>
      <w:pPr>
        <w:spacing w:after="0" w:line="225" w:lineRule="exact"/>
        <w:rPr>
          <w:sz w:val="20"/>
          <w:szCs w:val="20"/>
          <w:color w:val="auto"/>
        </w:rPr>
      </w:pPr>
    </w:p>
    <w:tbl>
      <w:tblPr>
        <w:tblLayout w:type="fixed"/>
        <w:tblInd w:w="227" w:type="dxa"/>
        <w:tblCellMar>
          <w:top w:w="0" w:type="dxa"/>
          <w:left w:w="0" w:type="dxa"/>
          <w:bottom w:w="0" w:type="dxa"/>
          <w:right w:w="0" w:type="dxa"/>
        </w:tblCellMar>
      </w:tblPr>
      <w:tr>
        <w:trPr>
          <w:trHeight w:val="241"/>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Clint J. Pete</w:t>
            </w:r>
          </w:p>
        </w:tc>
        <w:tc>
          <w:tcPr>
            <w:tcW w:w="360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(919)</w:t>
            </w:r>
          </w:p>
        </w:tc>
        <w:tc>
          <w:tcPr>
            <w:tcW w:w="360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468-0399</w:t>
            </w:r>
          </w:p>
        </w:tc>
      </w:tr>
      <w:tr>
        <w:trPr>
          <w:trHeight w:val="234"/>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100" w:type="dxa"/>
            <w:vAlign w:val="bottom"/>
          </w:tcPr>
          <w:p>
            <w:pPr>
              <w:spacing w:after="0"/>
              <w:rPr>
                <w:sz w:val="20"/>
                <w:szCs w:val="20"/>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100" w:type="dxa"/>
            <w:vAlign w:val="bottom"/>
          </w:tcPr>
          <w:p>
            <w:pPr>
              <w:spacing w:after="0"/>
              <w:rPr>
                <w:sz w:val="20"/>
                <w:szCs w:val="20"/>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left="347" w:right="80" w:hanging="347"/>
        <w:spacing w:after="0" w:line="266" w:lineRule="auto"/>
        <w:tabs>
          <w:tab w:leader="none" w:pos="3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rFonts w:ascii="Times New Roman" w:cs="Times New Roman" w:eastAsia="Times New Roman" w:hAnsi="Times New Roman"/>
          <w:sz w:val="18"/>
          <w:szCs w:val="18"/>
          <w:color w:val="auto"/>
        </w:rPr>
      </w:pPr>
    </w:p>
    <w:p>
      <w:pPr>
        <w:ind w:left="347"/>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3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Form 10-K for the fiscal year ended June 30, 2025 and Form 10-Q for the fiscal quarter ended September 30, 2025.</w:t>
      </w:r>
    </w:p>
    <w:p>
      <w:pPr>
        <w:spacing w:after="0" w:line="225" w:lineRule="exact"/>
        <w:rPr>
          <w:rFonts w:ascii="Times New Roman" w:cs="Times New Roman" w:eastAsia="Times New Roman" w:hAnsi="Times New Roman"/>
          <w:sz w:val="18"/>
          <w:szCs w:val="18"/>
          <w:color w:val="auto"/>
        </w:rPr>
      </w:pPr>
    </w:p>
    <w:p>
      <w:pPr>
        <w:ind w:left="347" w:right="600" w:hanging="347"/>
        <w:spacing w:after="0" w:line="282" w:lineRule="auto"/>
        <w:tabs>
          <w:tab w:leader="none" w:pos="3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347"/>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347"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1" w:lineRule="exact"/>
        <w:rPr>
          <w:rFonts w:ascii="Times New Roman" w:cs="Times New Roman" w:eastAsia="Times New Roman" w:hAnsi="Times New Roman"/>
          <w:sz w:val="18"/>
          <w:szCs w:val="18"/>
          <w:color w:val="auto"/>
        </w:rPr>
      </w:pPr>
    </w:p>
    <w:p>
      <w:pPr>
        <w:ind w:left="347"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Company’s results for the first, second and third quarters of the fiscal year ended June 30, 2025, and the anticipated results for the fiscal year ended June 30, 2025 and the quarter ended September 30, 2025 (collectively, the “Reporting Periods”), the Company expects net sales for the quarter ended December 31, 2025 to decrease compared to net sales for the quarter ended December 31, 2024.</w:t>
      </w:r>
    </w:p>
    <w:p>
      <w:pPr>
        <w:spacing w:after="0" w:line="175" w:lineRule="exact"/>
        <w:rPr>
          <w:rFonts w:ascii="Times New Roman" w:cs="Times New Roman" w:eastAsia="Times New Roman" w:hAnsi="Times New Roman"/>
          <w:sz w:val="18"/>
          <w:szCs w:val="18"/>
          <w:color w:val="auto"/>
        </w:rPr>
      </w:pPr>
    </w:p>
    <w:p>
      <w:pPr>
        <w:jc w:val="both"/>
        <w:ind w:left="347"/>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consistent with the Company’s results for the Reporting Periods, the Company expects to report a net loss for the quarter ended December 31, 2025. A reasonable net loss estimate for the quarter ended December 31, 2025 cannot be made at this time until the completion of the quarter-end financial statement review process for the quarter ended December 31, 2025.</w:t>
      </w:r>
    </w:p>
    <w:p>
      <w:pPr>
        <w:spacing w:after="0" w:line="175" w:lineRule="exact"/>
        <w:rPr>
          <w:rFonts w:ascii="Times New Roman" w:cs="Times New Roman" w:eastAsia="Times New Roman" w:hAnsi="Times New Roman"/>
          <w:sz w:val="18"/>
          <w:szCs w:val="18"/>
          <w:color w:val="auto"/>
        </w:rPr>
      </w:pPr>
    </w:p>
    <w:p>
      <w:pPr>
        <w:ind w:left="34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 xml:space="preserve">The foregoing estimates are preliminary and unaudited. </w:t>
      </w:r>
      <w:r>
        <w:rPr>
          <w:rFonts w:ascii="Times New Roman" w:cs="Times New Roman" w:eastAsia="Times New Roman" w:hAnsi="Times New Roman"/>
          <w:sz w:val="18"/>
          <w:szCs w:val="18"/>
          <w:color w:val="000000"/>
        </w:rPr>
        <w:t>While the Company does not expect any significant changes to the aforementioned estimates,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such estimates remain subject to change pending the completion of the financial statement review.</w:t>
      </w:r>
    </w:p>
    <w:p>
      <w:pPr>
        <w:spacing w:after="0" w:line="157" w:lineRule="exact"/>
        <w:rPr>
          <w:rFonts w:ascii="Times New Roman" w:cs="Times New Roman" w:eastAsia="Times New Roman" w:hAnsi="Times New Roman"/>
          <w:sz w:val="18"/>
          <w:szCs w:val="18"/>
          <w:color w:val="auto"/>
        </w:rPr>
      </w:pPr>
    </w:p>
    <w:p>
      <w:pPr>
        <w:ind w:left="3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22222"/>
        </w:rPr>
        <w:t>Forward-Looking Statements</w:t>
      </w:r>
    </w:p>
    <w:p>
      <w:pPr>
        <w:spacing w:after="0" w:line="229" w:lineRule="exact"/>
        <w:rPr>
          <w:rFonts w:ascii="Times New Roman" w:cs="Times New Roman" w:eastAsia="Times New Roman" w:hAnsi="Times New Roman"/>
          <w:sz w:val="18"/>
          <w:szCs w:val="18"/>
          <w:color w:val="auto"/>
        </w:rPr>
      </w:pPr>
    </w:p>
    <w:p>
      <w:pPr>
        <w:ind w:left="347"/>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This filing contains a number of forward-looking statements within the meaning of Section 27A of the Securities Act of 1933, as amended, and Section 21E of the Securities Exchange Act of 1934, as amended. Words such as “anticipate,” “plan,” “expect,” “will,” “working,” and variations of such words and similar future or conditional expressions are intended to identify forward-looking statements. These forward-looking statements include, but are not limited to, statements regarding our beliefs and expectations relating to the filing of the Form 10-K for the year ended June 30, 2025, the Form 10-Q filing for the quarter ended September 30, 2025 and the Q2 FY2026 Form 10-Q, and the estimated reporting of financial results for such periods. These forward-looking statements are not guarantees of future results and are subject to a number of risks and uncertainties, many of which are difficult to predict and beyond our control. Actual results could differ materially from those contemplated by the forward-looking statements as a result of certain factors detailed in the Company’s filings with the Securities and Exchange Commission. The Company disclaims and does not undertake any obligation to update or revise any forward-looking statement in this report, except as required by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560070</wp:posOffset>
            </wp:positionV>
            <wp:extent cx="71577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Charles &amp; Colvard,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Clint J. Pete</w:t>
            </w:r>
          </w:p>
        </w:tc>
      </w:tr>
      <w:tr>
        <w:trPr>
          <w:trHeight w:val="191"/>
        </w:trPr>
        <w:tc>
          <w:tcPr>
            <w:tcW w:w="370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Clint J. Pete</w:t>
            </w:r>
          </w:p>
        </w:tc>
      </w:tr>
      <w:tr>
        <w:trPr>
          <w:trHeight w:val="234"/>
        </w:trPr>
        <w:tc>
          <w:tcPr>
            <w:tcW w:w="370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20" w:h="16838" w:orient="portrait"/>
      <w:cols w:equalWidth="0" w:num="1">
        <w:col w:w="11260"/>
      </w:cols>
      <w:pgMar w:left="340" w:top="899"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lowerLetter"/>
      <w:start w:val="2"/>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2026-02-17T17:33:30Z</dcterms:created>
  <dcterms:modified xsi:type="dcterms:W3CDTF">2026-02-17T17:33:30Z</dcterms:modified>
</cp:coreProperties>
</file>