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7752d2_8k.htm"/>
      <w:bookmarkStart w:id="1" w:name="kstm267752d2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4_edei--DocumentType_c2026030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 xml:space="preserve">March 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Charles &amp; Colvard,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375"/>
        <w:gridCol w:w="1460"/>
        <w:gridCol w:w="1535"/>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North Carolina</w:t>
            </w:r>
          </w:p>
        </w:tc>
        <w:tc>
          <w:tcPr>
            <w:tcW w:w="14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302"/>
            <w:bookmarkEnd w:id="6"/>
            <w:r>
              <w:rPr>
                <w:rFonts w:ascii="Times New Roman;Times;Serif" w:hAnsi="Times New Roman;Times;Serif"/>
                <w:b/>
                <w:i w:val="false"/>
                <w:caps w:val="false"/>
                <w:smallCaps w:val="false"/>
                <w:sz w:val="20"/>
              </w:rPr>
              <w:t>000-23329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56-1928817</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146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170 Southport Drive</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sz w:val="20"/>
              </w:rPr>
            </w:pPr>
            <w:bookmarkStart w:id="9" w:name="xdx_90B_edei--EntityAddressCityOrTown_c2"/>
            <w:bookmarkEnd w:id="9"/>
            <w:r>
              <w:rPr>
                <w:rFonts w:ascii="Times New Roman;Times;Serif" w:hAnsi="Times New Roman;Times;Serif"/>
                <w:b/>
                <w:i w:val="false"/>
                <w:caps w:val="false"/>
                <w:smallCaps w:val="false"/>
                <w:sz w:val="20"/>
              </w:rPr>
              <w:t>Morrisville</w:t>
            </w:r>
            <w:r>
              <w:rPr>
                <w:sz w:val="20"/>
              </w:rPr>
              <w:t xml:space="preserve">, </w:t>
            </w:r>
            <w:bookmarkStart w:id="10" w:name="xdx_906_edei--EntityAddressStateOrProvin"/>
            <w:bookmarkEnd w:id="10"/>
            <w:r>
              <w:rPr>
                <w:b/>
                <w:sz w:val="20"/>
              </w:rPr>
              <w:t>North Carolina</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A_edei--EntityAddressPostalZipCode"/>
            <w:bookmarkEnd w:id="11"/>
            <w:r>
              <w:rPr>
                <w:rFonts w:ascii="Times New Roman;Times;Serif" w:hAnsi="Times New Roman;Times;Serif"/>
                <w:b/>
                <w:i w:val="false"/>
                <w:caps w:val="false"/>
                <w:smallCaps w:val="false"/>
                <w:sz w:val="20"/>
              </w:rPr>
              <w:t>27560</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302__20"/>
      <w:bookmarkEnd w:id="12"/>
      <w:r>
        <w:rPr>
          <w:rFonts w:ascii="Times New Roman;Times;Serif" w:hAnsi="Times New Roman;Times;Serif"/>
          <w:b/>
          <w:i w:val="false"/>
          <w:caps w:val="false"/>
          <w:smallCaps w:val="false"/>
          <w:sz w:val="20"/>
        </w:rPr>
        <w:t xml:space="preserve">919) </w:t>
      </w:r>
      <w:bookmarkStart w:id="13" w:name="xdx_90E_edei--LocalPhoneNumber_c20260302"/>
      <w:bookmarkEnd w:id="13"/>
      <w:r>
        <w:rPr>
          <w:rFonts w:ascii="Times New Roman;Times;Serif" w:hAnsi="Times New Roman;Times;Serif"/>
          <w:b/>
          <w:i w:val="false"/>
          <w:caps w:val="false"/>
          <w:smallCaps w:val="false"/>
          <w:sz w:val="20"/>
        </w:rPr>
        <w:t>468-0399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603"/>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3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1.03 Bankruptcy or Receivership.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Voluntary Petition for Bankruptcy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(the “Petition Date”), Charles &amp; Colvard, Ltd. (the “Company” or the “Debtor”), filed a voluntary petition for relief (the “Chapter 11 Case”) under Chapter 11 (“Chapter 11”) of Title 11 of the United States Code (the “Bankruptcy Code”) in the United States Bankruptcy Court for the Eastern District of North Carolina (the “Bankruptcy Court”). The Debtor will seek to continue to operate its business and manage its properties as a “debtor in possession.” To this end, the Debtor is seeking approval of certain operational and administrative motions containing customary first-day relief intended to minimize the effect of bankruptcy on the Debtor’s employees, vendors, and other stakeholders, including motions seeking authority to pay employee wages and benefits, to pay certain vendors and suppliers for goods and services provided after the Petition Date, and to continue honoring insurance and tax obligations as they 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2.04 Triggering Events that Accelerate or Increase a Direct Financial Obligation or Obligation under an Off-Balance Sheet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Chapter 11 Case may trigger events of default under certain of the Debtor’s contracts, agreements or debt instruments, including but not limited to that certain Convertible Secured Note Purchase Agreement between the Company and Ethara Capital LLC dated June 24, 2025 and that certain Lease Agreement between the Company and SBP Office Owner, L.P. dated December 9, 2013, as amended December 23, 2013, April 15, 2014 and January 29, 2021, which may result in the termination of, or an acceleration of the Debtor’s obligations under, such contracts, agreements or debt instruments. Such events of defaults, however, may be stayed pursuant to 11 U.S.C. §362.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2026, the Company issued a news release announcing the filing of the Chapter 11 Case. A copy of the press release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further discloses that it intends to continue to make public disclosure from time to time on its investor relations website (https://ir.charlesandcolvard.com) as a routine channel of distribution for Company information, including as a means of disclosing material non-public information and for complying with its disclosure obligations under Regulation FD. Accordingly, investors should monitor the Company’s website in addition to following news releases, SEC filings and public conference calls and webcasts. The Company disclaims any obligation to update or maintain such information on that website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(this “Current Report”), including Exhibit 99.1, which is incorporated into this Item 7.01, is being furnished pursuant to Item 7.01 and shall not be deemed “filed” for the purposes of Section 18 of the Securities Exchange Act of 1934, as amended (the “Exchange Act”), or otherwise subject to the liabilities of that section, nor shall it be deemed incorporated by reference in any filing under the Exchange Act, as amended, or the Securities Act of 1933, as amended,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the Chapter 11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cautions that trading in the Company’s common stock during the pendency of the Chapter 11 Case is highly speculative and poses substantial risks. Trading prices for the Company’s common stock may bear little or no relationship to the actual recovery, if any, by the holders of the Company’s common stock in the Chapter 11 Case. The Company expects that holders of the Company’s common stock may experience a significant or complete loss on their investment, depending on the outcome of the Chapter 11 Case. </w:t>
      </w:r>
      <w:r>
        <w:rPr>
          <w:rFonts w:ascii="Times New Roman;Times;Serif" w:hAnsi="Times New Roman;Times;Serif"/>
          <w:b w:val="false"/>
          <w:i w:val="false"/>
          <w:caps w:val="false"/>
          <w:smallCaps w:val="false"/>
          <w:sz w:val="20"/>
          <w:shd w:fill="FFFFFF" w:val="clear"/>
        </w:rPr>
        <w:t>Accordingly, the Company urges extreme caution with respect to existing and future investments in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Section 27A of the Securities Act of 1933, as amended, and Section 21E of the Securities Exchange Act of 1934, as amended. These forward-looking statements include, but are not limited to, statements regarding the Company’s expectations with respect to operating in the normal course, statements regarding the Chapter 11 process, and statements about the Company’s plans, objectives, representations, and contentions and are not historical facts and typically are identified by use of terms such as “may,” “will,” “should,” “could,” “expect,” “intend,” “plan,” “anticipate,” “believe,” “estimate,” “predict,” “continue,” and similar words, although some forward-looking statements are expressed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subject to the risks and uncertainties inherent in predicting the future. You should be aware that although the forward-looking statements included herein represent management’s current judgment and expectations, the Company’s actual results may differ materially from those projected, stated, or implied in these forward-looking statements as a result of many factors including, but not limited to, risks attendant to the bankruptcy process, including the Company’s ability to obtain court approval from the Court with respect to motions or other requests made to the Court throughout the course of Chapter 11; the effects of Chapter 11, including increased legal and other professional costs necessary to execute the Company’s restructuring process, on the Company’s liquidity (including the availability of operating capital during the pendency of Chapter 11); the effects of Chapter 11 on the interests of various constituents and financial stakeholders; the length of time that the Company will operate under Chapter 11 protection and the continued availability of operating capital during the pendency of Chapter 11; objections to the Company’s restructuring process or other pleadings filed that could protract Chapter 11; risks associated with the Company’s proposed restructuring plan; risks associated with third-party motions in Chapter 11; Court rulings in the Chapter 11 process and the outcome of Chapter 11 in general; employee attrition and the Company’s ability to retain senior management and other key personnel due to the distractions and uncertainties; in addition to the other risks and uncertainties described in more detail in the Company’s filings with the U.S. Securities and Exchange Commission, including the detailed factors discussed under the heading “Risk Factors” in the Company’s Annual Report on Form 10-K for the fiscal year ended June 30, 2024, as supplemented in the Company’s Quarterly Report on Form 10-Q for the fiscal quarters ended September 30, 2024, December 31, 2024 and March 31, 2025. Furthermore, such forward-looking statements speak only as of the date of this Current Report. Except as required by law, the Company undertakes no obligation to update or revise any forward-looking statements to reflect new circumstances or unanticipated events as they occur except as required by the federal securities laws, and you are urged to review and consider disclosures that we make in the reports that we file with the U.S. Securities and Exchange Commission, that discuss other factors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1205"/>
        <w:gridCol w:w="60"/>
        <w:gridCol w:w="7670"/>
      </w:tblGrid>
      <w:tr>
        <w:trPr/>
        <w:tc>
          <w:tcPr>
            <w:tcW w:w="1205" w:type="dxa"/>
            <w:tcBorders/>
            <w:vAlign w:val="center"/>
          </w:tcPr>
          <w:p>
            <w:pPr>
              <w:pStyle w:val="TableContents"/>
              <w:bidi w:val="0"/>
              <w:spacing w:before="0" w:after="283"/>
              <w:jc w:val="left"/>
              <w:rPr>
                <w:b/>
              </w:rPr>
            </w:pPr>
            <w:r>
              <w:rPr>
                <w:b/>
              </w:rPr>
              <w:t>Exhibit No.</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b/>
              </w:rPr>
            </w:pPr>
            <w:r>
              <w:rPr>
                <w:b/>
              </w:rPr>
              <w:t>Description</w:t>
            </w:r>
          </w:p>
        </w:tc>
      </w:tr>
      <w:tr>
        <w:trPr/>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left"/>
              <w:rPr/>
            </w:pPr>
            <w:hyperlink w:anchor="tm267752d2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hyperlink w:anchor="tm267752d2_ex99-1.htm">
              <w:r>
                <w:rPr>
                  <w:rStyle w:val="InternetLink"/>
                </w:rPr>
                <w:t>Press Release</w:t>
              </w:r>
            </w:hyperlink>
          </w:p>
        </w:tc>
      </w:tr>
      <w:tr>
        <w:trPr/>
        <w:tc>
          <w:tcPr>
            <w:tcW w:w="120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3969" w:type="dxa"/>
        <w:jc w:val="left"/>
        <w:tblInd w:w="0" w:type="dxa"/>
        <w:tblLayout w:type="fixed"/>
        <w:tblCellMar>
          <w:top w:w="0" w:type="dxa"/>
          <w:left w:w="0" w:type="dxa"/>
          <w:bottom w:w="0" w:type="dxa"/>
          <w:right w:w="0" w:type="dxa"/>
        </w:tblCellMar>
      </w:tblPr>
      <w:tblGrid>
        <w:gridCol w:w="1430"/>
        <w:gridCol w:w="306"/>
        <w:gridCol w:w="2233"/>
      </w:tblGrid>
      <w:tr>
        <w:trPr/>
        <w:tc>
          <w:tcPr>
            <w:tcW w:w="143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b/>
              </w:rPr>
            </w:pPr>
            <w:r>
              <w:rPr>
                <w:b/>
              </w:rPr>
              <w:t>Charles &amp; Colvard, Ltd.</w:t>
            </w:r>
          </w:p>
        </w:tc>
      </w:tr>
      <w:tr>
        <w:trPr/>
        <w:tc>
          <w:tcPr>
            <w:tcW w:w="143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March 3, 2026</w:t>
            </w:r>
          </w:p>
        </w:tc>
        <w:tc>
          <w:tcPr>
            <w:tcW w:w="306" w:type="dxa"/>
            <w:tcBorders/>
            <w:vAlign w:val="center"/>
          </w:tcPr>
          <w:p>
            <w:pPr>
              <w:pStyle w:val="TableContents"/>
              <w:bidi w:val="0"/>
              <w:spacing w:before="0" w:after="283"/>
              <w:jc w:val="left"/>
              <w:rPr/>
            </w:pPr>
            <w:r>
              <w:rPr/>
              <w:t>By</w:t>
            </w:r>
          </w:p>
        </w:tc>
        <w:tc>
          <w:tcPr>
            <w:tcW w:w="2233" w:type="dxa"/>
            <w:tcBorders>
              <w:bottom w:val="single" w:sz="8" w:space="0" w:color="000000"/>
            </w:tcBorders>
            <w:tcMar>
              <w:bottom w:w="28" w:type="dxa"/>
            </w:tcMar>
            <w:vAlign w:val="center"/>
          </w:tcPr>
          <w:p>
            <w:pPr>
              <w:pStyle w:val="TableContents"/>
              <w:bidi w:val="0"/>
              <w:spacing w:before="0" w:after="283"/>
              <w:jc w:val="left"/>
              <w:rPr/>
            </w:pPr>
            <w:r>
              <w:rPr/>
              <w:t>/s/ Clint J. Pete</w:t>
            </w:r>
          </w:p>
        </w:tc>
      </w:tr>
      <w:tr>
        <w:trPr/>
        <w:tc>
          <w:tcPr>
            <w:tcW w:w="143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Clint J. Pete</w:t>
            </w:r>
          </w:p>
        </w:tc>
      </w:tr>
      <w:tr>
        <w:trPr/>
        <w:tc>
          <w:tcPr>
            <w:tcW w:w="143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2233"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19" w:name="tm267752d2_ex99-1.htm"/>
      <w:bookmarkStart w:id="20" w:name="kstm267752d2_ex991"/>
      <w:bookmarkEnd w:id="19"/>
      <w:bookmarkEnd w:id="20"/>
      <w:r>
        <w:rPr>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384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1028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Charles &amp; Colvard Commences Voluntary Restructuring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TRIANGLE PARK, N.C.</w:t>
      </w:r>
      <w:r>
        <w:rPr>
          <w:rFonts w:ascii="Times New Roman;Times;Serif" w:hAnsi="Times New Roman;Times;Serif"/>
          <w:b w:val="false"/>
          <w:i w:val="false"/>
          <w:caps w:val="false"/>
          <w:smallCaps w:val="false"/>
          <w:sz w:val="20"/>
        </w:rPr>
        <w:t xml:space="preserve"> – March 3, 2026 – Charles &amp; Colvard, Ltd. (OTC: CTHR) (“Charles &amp; Colvard” or the “Company”), a leading producer of lab-grown gemstone jewelry, today announced that it is initiating a comprehensive restructuring of the Company to better position the business for long-term success. To facilitate the process, the Company has filed a voluntary petition for Chapter 11 in the U.S. Bankruptcy Court for the Eastern District of North Carolina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&amp; Colvard intends to use the Chapter 11 process to implement the broad changes necessary to position the Company to continue to deliver its unique lab-grown jewelry products. The Company believes the Chapter 11 process will provide Charles &amp; Colvard with the tools, time, and flexibility to engage in discussions with creditors and other parties in interest to implement a financial and operational transformation of the Company.  The Company is filing customary motions with the Court to enable it to conduct business as usual during the restructuring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Charles &amp; Colvard has a unique brand and product line, supported by superb employees and suppliers,” said Michael R. Levin, Executive Chairman of the Board of Directors. “After thoroughly evaluating our alternatives and considering recent events and the market pressures facing our industry, the Company’s Board of Directors decided that a court-supervised process is the best path forward to make the changes needed to ensure Charles &amp; Colvard’s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can continue to shop with confidence for the Company’s lab-grown fine jewelry at charlesandcolvard.com, with business operations continuing in the ordinary course without interruption.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this process unfolds, the Company remains fully committed to serving its customers, supporting its partners, and preserving the value of its brand,” continued Levin. “On behalf of the Company’s Board of Directors and leadership, I want to thank our employees and suppliers for their continued dedication.”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 of 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post updates at its Investor Relations website, https://ir.charlesandcolvard.com.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Charles &amp; Colvard,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Charles &amp; Colvard, Ltd. (OTC: CTHR) believes that fine jewelry should be as ethical as it is exquisite. Charles &amp; Colvard is the original creator of lab-grown moissanite (a rare gemstone formed from silicon carbide). The Company brings revolutionary gems and fine jewelry to market by using exclusively </w:t>
      </w:r>
      <w:r>
        <w:rPr>
          <w:rFonts w:ascii="Times New Roman;Times;Serif" w:hAnsi="Times New Roman;Times;Serif"/>
          <w:b w:val="false"/>
          <w:i/>
          <w:caps w:val="false"/>
          <w:smallCaps w:val="false"/>
          <w:sz w:val="20"/>
        </w:rPr>
        <w:t>Made, not Mined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above-ground gemstones and a dedication to 100% recycled precious metals. The Company’s Forever One™ moissanite and Caydia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lab-grown diamond brands provide exceptional quality, incredible value, and a conscious approach to bridal, high-fashion, and everyday jewelry. Charles &amp; Colvard was founded in 1995 and is based in North Carolina's Research Triangle Park region. For more information, please visit charlesandcolvard.com.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include, but are not limited to, statements regarding the Company’s expectations with respect to operating in the normal course, statements regarding the Chapter 11 process and statements about the Company’s plans, objectives, representations, and contentions and are not historical facts and typically are identified by use of terms such as “may,” “will,” “should,” “could,” “expect,” “intend,” “plan,” “anticipate,” “believe,” “estimate,” “predict,” “continue,” and similar words, although some forward-looking statements are expressed differently.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 of 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subject to the risks and uncertainties inherent in predicting the future. You should be aware that although the forward-looking statements included herein represent management’s current judgment and expectations, the Company’s actual results may differ materially from those projected, stated, or implied in these forward-looking statements as a result of many factors including, but not limited to, risks attendant to the bankruptcy process, including the Company’s ability to obtain court approval from the Court with respect to motions or other requests made to the Court throughout the course of Chapter 11; the effects of Chapter 11, including increased legal and other professional costs necessary to execute the Company’s restructuring process, on the Company’s liquidity (including the availability of operating capital during the pendency of Chapter 11); the effects of Chapter 11 on the interests of various constituents and financial stakeholders; the length of time that the Company will operate under Chapter 11 protection and the continued availability of operating capital during the pendency of Chapter 11; objections to the Company’s restructuring process or other pleadings filed that could protract Chapter 11; risks associated with the Company’s proposed restructuring plan; risks associated with third-party motions in Chapter 11; Court rulings in the Chapter 11 process and the outcome of Chapter 11 in general; employee attrition and the Company’s ability to retain senior management and other key personnel due to the distractions and uncertainties; in addition to the other risks and uncertainties described in more detail in the Company’s filings with the U.S. Securities and Exchange Commission (the “SEC”), including the detailed factors discussed under the heading “Risk Factors” in the Company’s Annual Report on Form 10-K for the fiscal year ended June 30, 2024, as supplemented in the Company’s Quarterly Report on Form 10-Q for the fiscal quarters ended September 30, 2024, December 31, 2024 and March 31, 2025. Furthermore, such forward-looking statements speak only as of the date they are made. We undertake no obligation to update or revise any forward-looking statements to reflect new circumstances or unanticipated events as they occur except as required by the federal securities laws, and you are urged to review and consider disclosures that we make in the reports that we file with the SEC, that discuss other factors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Clint J. Pete, Chief Financial Officer, 919-468-0399, ir@charlesandcolvard.com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 of 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2455</Words>
  <Characters>13871</Characters>
  <CharactersWithSpaces>16338</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