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24,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Charles &amp; Colvard,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02" w:right="339" w:bottom="1440" w:gutter="0" w:footer="0" w:header="0"/>
        </w:sectPr>
      </w:pP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North Carolina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000-23329</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56-1928817</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260" w:space="720"/>
            <w:col w:w="3020" w:space="720"/>
            <w:col w:w="2520"/>
          </w:cols>
          <w:pgMar w:left="320" w:top="702"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170 Southport Drive</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Morrisville, North Carolina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27560</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02"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468-0399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210"/>
        <w:spacing w:after="0" w:line="509"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318"/>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08"/>
        </w:trPr>
        <w:tc>
          <w:tcPr>
            <w:tcW w:w="3740" w:type="dxa"/>
            <w:vAlign w:val="bottom"/>
            <w:tcBorders>
              <w:left w:val="single" w:sz="8" w:color="auto"/>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r>
        <w:trPr>
          <w:trHeight w:val="224"/>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 per share</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CTHR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3740" w:type="dxa"/>
            <w:vAlign w:val="bottom"/>
            <w:tcBorders>
              <w:left w:val="single" w:sz="8" w:color="auto"/>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24, 2020, Charles &amp; Colvard, Ltd. (the “Company”) received a notification letter from Nasdaq’s Listing Qualifications Department indicating that the Company is not in compliance with Nasdaq Listing Rule 5550(a)(2) because the minimum bid price of its common stock on the Nasdaq Capital Market has closed below $1.00 per share for 30 consecutive business days. The notification letter has no immediate effect on the Nasdaq listing or trading in the Company’s common stock.</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accordance with Nasdaq Listing Rule 5810(c)(3)(A), the Company has 180 calendar days, or until September 21, 2020, to regain compliance with the minimum $1.00 bid price per share requirement. To regain compliance, any time before September 21, 2020, the bid price of the Company’s common stock must close at $1.00 per share or more for a minimum of 10 consecutive business days.</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September 21, 2020, if the Company’s market value of publicly held shares is at least $1 million, the Company meets the other initial listing criteria for The Nasdaq Capital Market (except for the minimum bid price requirement), and the Company notifies Nasdaq of its intention to cure the deficiency, the Company may be provided with an additional 180 calendar day compliance period to regain compliance. If the Company is not eligible for an additional compliance period at that time, Nasdaq will provide the Company with written notification that its common stock will be subject to delisting. Upon such notice, the Company may appeal Nasdaq’s delisting determination to a Nasdaq hearing panel. There can be no assurance that, if the Company appeals Nasdaq’s determination, such appeal would be successful.</w:t>
      </w:r>
    </w:p>
    <w:p>
      <w:pPr>
        <w:spacing w:after="0" w:line="19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intends to actively monitor the bid price of its common stock and will consider available options to regain compliance with the listing requirements.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25, 2020, the Company is closely monitoring the evolving COVID-19 situation and has been adjusting its business operations as part of its response to provide customers with e-commerce capabilities and customer service, while ensuring the safety of employees. The Company continues to receive and fulfill customer orders, however, the Company has recently seen a negative impact on traffic to the Company’s e-commerce site, given consumer concerns and changes related to COVID-19. In addition, certain of the Company's Traditional segment customers have suspended operations. Based on the macro uncertainty and rapidly changing global business environment, the Company may experience unpredictable demand for and availability of its products. However, the Company operates a global supply chain that may provide flexibility to leverage the production and distribution systems of its third-party partners should any disruption occur at its North Carolina distribution center.</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information contained in this Item 7.01 is being furnished and shall not be deemed to be “filed” for purposes of Section 18 of the Securities Exchange Act of 1934, as amended (the “Exchange Act”), nor shall it be deemed incorporated by reference into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Charles &amp; Colvard, Ltd.</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March 25, 2020</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 J. Pete</w:t>
            </w:r>
          </w:p>
        </w:tc>
      </w:tr>
      <w:tr>
        <w:trPr>
          <w:trHeight w:val="195"/>
        </w:trPr>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Clint J. Pete</w:t>
            </w:r>
          </w:p>
        </w:tc>
      </w:tr>
      <w:tr>
        <w:trPr>
          <w:trHeight w:val="230"/>
        </w:trPr>
        <w:tc>
          <w:tcPr>
            <w:tcW w:w="3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2020-03-25T16:26:30Z</dcterms:created>
  <dcterms:modified xsi:type="dcterms:W3CDTF">2020-03-25T16:26:30Z</dcterms:modified>
</cp:coreProperties>
</file>